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ED" w:rsidRPr="002B60ED" w:rsidRDefault="002B60ED" w:rsidP="002B60ED">
      <w:pPr>
        <w:widowControl/>
        <w:shd w:val="clear" w:color="auto" w:fill="F3F3F3"/>
        <w:spacing w:before="420" w:after="450"/>
        <w:outlineLvl w:val="1"/>
        <w:rPr>
          <w:rFonts w:ascii="gilroyextrabold" w:eastAsia="Times New Roman" w:hAnsi="gilroyextrabold" w:cs="Times New Roman"/>
          <w:color w:val="212125"/>
          <w:sz w:val="54"/>
          <w:szCs w:val="54"/>
          <w:lang w:bidi="ar-SA"/>
        </w:rPr>
      </w:pPr>
      <w:bookmarkStart w:id="0" w:name="anchor-5"/>
      <w:bookmarkStart w:id="1" w:name="_GoBack"/>
      <w:bookmarkEnd w:id="0"/>
      <w:bookmarkEnd w:id="1"/>
      <w:r w:rsidRPr="002B60ED">
        <w:rPr>
          <w:rFonts w:ascii="gilroyextrabold" w:eastAsia="Times New Roman" w:hAnsi="gilroyextrabold" w:cs="Times New Roman"/>
          <w:color w:val="212125"/>
          <w:sz w:val="54"/>
          <w:szCs w:val="54"/>
          <w:lang w:bidi="ar-SA"/>
        </w:rPr>
        <w:t>С 2023 года вступили в силу новые правила предоставления господдержки АПК</w:t>
      </w:r>
    </w:p>
    <w:p w:rsidR="002B60ED" w:rsidRDefault="002B60ED" w:rsidP="002B60ED">
      <w:pPr>
        <w:widowControl/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</w:pPr>
    </w:p>
    <w:p w:rsidR="002B60ED" w:rsidRPr="002B60ED" w:rsidRDefault="002B60ED" w:rsidP="002B60ED">
      <w:pPr>
        <w:widowControl/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</w:pP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t>Минсельхоз России продолжает планомерно совершенствовать механизмы господдержки АПК. В частности, с нового года изменился порядок предоставления «компенсирующей» и «стимулирующей» субсидий, а также возмещения прямых понесенных затрат.</w:t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  <w:t>В «компенсирующей» субсидии упрощен расчет лимитов на страхование. Средства регионам будут распределяться исходя из суммарного объема страховой премии в среднем за 3 предыдущих года. Также появилось новое направление использования субсидий – на 1 кг живой массы крупного рогатого скота не старше 24 месяцев. Кроме того, в компенсирующей субсидии будут уточнены показатели по приобретению племенного молодняка. </w:t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  <w:t xml:space="preserve">В «стимулирующей» субсидии изменен общий принцип расчета лимитов по приоритетам – теперь используются отчетные, а не плановые значения показателей, исключены ограничивающие коэффициенты. Перераспределение средств между приоритетными направлениями в текущем году допускается не более 2 раз. В состав получателей включены </w:t>
      </w:r>
      <w:proofErr w:type="spellStart"/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t>самозанятые</w:t>
      </w:r>
      <w:proofErr w:type="spellEnd"/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t xml:space="preserve"> граждане, ведущие ЛПХ. В отношении </w:t>
      </w:r>
      <w:proofErr w:type="spellStart"/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t>грантовой</w:t>
      </w:r>
      <w:proofErr w:type="spellEnd"/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t xml:space="preserve"> поддержки изменился показатель оценки эффективности, с текущего года прирост производства будет оцениваться по отношению к предыдущему году. Кроме того, упрощены требования грантов для сельхозкооперативов и для семейных ферм по созданию рабочих мест – одно рабочее место на каждые 10 млн рублей. </w:t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  <w:t xml:space="preserve">В правила по предоставлению субсидий на компенсацию части прямых понесенных затрат добавлены два новых направления: объекты по производству кормов для </w:t>
      </w:r>
      <w:proofErr w:type="spellStart"/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t>аквакультуры</w:t>
      </w:r>
      <w:proofErr w:type="spellEnd"/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t>, а также приобретение и ввод в промышленную эксплуатацию оборудования для внедрения обязательной маркировки отдельных видов молочной продукции. Это позволит дополнительно поддержать производителей товарной рыбы и продуктов переработки молока. </w:t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</w:r>
      <w:r w:rsidRPr="002B60ED"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  <w:br/>
        <w:t>Кроме того, согласно новым правилам субсидирования средства в объеме не менее 50% должны доводиться до сельхозпроизводителей до 1 июня 2023 года.</w:t>
      </w:r>
    </w:p>
    <w:p w:rsidR="002B60ED" w:rsidRPr="002B60ED" w:rsidRDefault="002B60ED" w:rsidP="002B60ED">
      <w:pPr>
        <w:widowControl/>
        <w:shd w:val="clear" w:color="auto" w:fill="F3F3F3"/>
        <w:rPr>
          <w:rFonts w:ascii="Roboto" w:eastAsia="Times New Roman" w:hAnsi="Roboto" w:cs="Times New Roman"/>
          <w:color w:val="212125"/>
          <w:sz w:val="26"/>
          <w:szCs w:val="26"/>
          <w:lang w:bidi="ar-SA"/>
        </w:rPr>
      </w:pPr>
      <w:hyperlink r:id="rId6" w:history="1">
        <w:r w:rsidRPr="002B60ED">
          <w:rPr>
            <w:rFonts w:ascii="Roboto" w:eastAsia="Times New Roman" w:hAnsi="Roboto" w:cs="Times New Roman"/>
            <w:color w:val="212125"/>
            <w:sz w:val="21"/>
            <w:szCs w:val="21"/>
            <w:u w:val="single"/>
            <w:lang w:bidi="ar-SA"/>
          </w:rPr>
          <w:t>К списку новостей</w:t>
        </w:r>
      </w:hyperlink>
    </w:p>
    <w:p w:rsidR="002B60ED" w:rsidRPr="002B60ED" w:rsidRDefault="002B60ED" w:rsidP="002B60ED">
      <w:pPr>
        <w:widowControl/>
        <w:shd w:val="clear" w:color="auto" w:fill="F8F8F8"/>
        <w:spacing w:line="630" w:lineRule="atLeast"/>
        <w:rPr>
          <w:rFonts w:ascii="Arial" w:eastAsia="Times New Roman" w:hAnsi="Arial" w:cs="Arial"/>
          <w:color w:val="828282"/>
          <w:sz w:val="42"/>
          <w:szCs w:val="42"/>
          <w:lang w:bidi="ar-SA"/>
        </w:rPr>
      </w:pPr>
      <w:r w:rsidRPr="002B60ED">
        <w:rPr>
          <w:rFonts w:ascii="Arial" w:eastAsia="Times New Roman" w:hAnsi="Arial" w:cs="Arial"/>
          <w:color w:val="828282"/>
          <w:sz w:val="42"/>
          <w:szCs w:val="42"/>
          <w:lang w:bidi="ar-SA"/>
        </w:rPr>
        <w:lastRenderedPageBreak/>
        <w:t xml:space="preserve"> будущем году одним из приоритетов господдержки сельского хозяйства станут вопросы </w:t>
      </w:r>
      <w:proofErr w:type="spellStart"/>
      <w:r w:rsidRPr="002B60ED">
        <w:rPr>
          <w:rFonts w:ascii="Arial" w:eastAsia="Times New Roman" w:hAnsi="Arial" w:cs="Arial"/>
          <w:color w:val="828282"/>
          <w:sz w:val="42"/>
          <w:szCs w:val="42"/>
          <w:lang w:bidi="ar-SA"/>
        </w:rPr>
        <w:t>импортозамещения</w:t>
      </w:r>
      <w:proofErr w:type="spellEnd"/>
      <w:r w:rsidRPr="002B60ED">
        <w:rPr>
          <w:rFonts w:ascii="Arial" w:eastAsia="Times New Roman" w:hAnsi="Arial" w:cs="Arial"/>
          <w:color w:val="828282"/>
          <w:sz w:val="42"/>
          <w:szCs w:val="42"/>
          <w:lang w:bidi="ar-SA"/>
        </w:rPr>
        <w:t>.</w:t>
      </w:r>
    </w:p>
    <w:p w:rsidR="002B60ED" w:rsidRPr="002B60ED" w:rsidRDefault="002B60ED" w:rsidP="002B60ED">
      <w:pPr>
        <w:widowControl/>
        <w:shd w:val="clear" w:color="auto" w:fill="F8F8F8"/>
        <w:spacing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Достигнув пороговых значений показателей Доктрины продовольственной безопасности по зерну, сахару, растительному маслу, мясу, рыбе, страна остается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импортозависимой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по ряду направлений, которые напрямую влияют на насыщение внутреннего рынка. Есть проблемы с отечественными семенами основных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сельхозкультур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, племенным поголовьем птиц и животных, с некоторыми видами сельхозтехники, а также связанные с кормовой базой и ветеринарными препаратами.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В 2023 году господдержка АПК будет увеличена и составит 445,8 миллиарда рублей, эти средства пойдут на выполнение трех госпрограмм, сообщили в Минсельхозе России. Цель программ - решение вопросов по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импортозамещению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и комплексному развитию АПК и сельских территорий.</w:t>
      </w:r>
    </w:p>
    <w:p w:rsidR="002B60ED" w:rsidRPr="002B60ED" w:rsidRDefault="002B60ED" w:rsidP="002B60ED">
      <w:pPr>
        <w:widowControl/>
        <w:shd w:val="clear" w:color="auto" w:fill="F8F8F8"/>
        <w:spacing w:before="100" w:beforeAutospacing="1" w:after="100" w:afterAutospacing="1" w:line="528" w:lineRule="atLeast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</w:pPr>
      <w:r w:rsidRPr="002B60ED"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  <w:t>Структура расходов на АПК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По данным Минсельхоза России, бюджет госпрограмм по комплексному развитию сельских территорий и эффективному вовлечению в оборот земель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сельхозназначения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и развитию мелиорации увеличен: на первую планируется направить 59,9 миллиарда рублей, что </w:t>
      </w: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lastRenderedPageBreak/>
        <w:t>на 7,4 миллиарда больше, а на вторую - 38,4 миллиарда, рост составил 13,2 миллиарда рублей.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В рамках госпрограммы АПК несколько сокращены объемы поддержки льготного кредитования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экспортно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ориентированных предприятий, субсидии производителям зерновых культур и предприятиям хлебопекарной промышленности. Но при необходимости финансирование будет увеличено. Источником, как и в 2022 году, станут экспортные пошлины.</w:t>
      </w:r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noProof/>
          <w:color w:val="3377CC"/>
          <w:sz w:val="33"/>
          <w:szCs w:val="33"/>
          <w:bdr w:val="single" w:sz="24" w:space="0" w:color="FFFFFF" w:frame="1"/>
          <w:lang w:bidi="ar-SA"/>
        </w:rPr>
        <w:drawing>
          <wp:inline distT="0" distB="0" distL="0" distR="0" wp14:anchorId="5A0BD937" wp14:editId="01C36939">
            <wp:extent cx="2667000" cy="1771650"/>
            <wp:effectExtent l="0" t="0" r="0" b="0"/>
            <wp:docPr id="2" name="Рисунок 2" descr="Какие задачи в экономике пришлось решать России в 2022 году и чего удалось добитьс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ие задачи в экономике пришлось решать России в 2022 году и чего удалось добитьс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hyperlink r:id="rId9" w:history="1">
        <w:r w:rsidRPr="002B60ED">
          <w:rPr>
            <w:rFonts w:ascii="Arial" w:eastAsia="Times New Roman" w:hAnsi="Arial" w:cs="Arial"/>
            <w:caps/>
            <w:color w:val="3377CC"/>
            <w:sz w:val="12"/>
            <w:szCs w:val="12"/>
            <w:u w:val="single"/>
            <w:shd w:val="clear" w:color="auto" w:fill="FF8200"/>
            <w:lang w:bidi="ar-SA"/>
          </w:rPr>
          <w:t>ЭКОНОМИКА</w:t>
        </w:r>
      </w:hyperlink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hyperlink r:id="rId10" w:history="1">
        <w:r w:rsidRPr="002B60ED">
          <w:rPr>
            <w:rFonts w:ascii="Arial" w:eastAsia="Times New Roman" w:hAnsi="Arial" w:cs="Arial"/>
            <w:b/>
            <w:bCs/>
            <w:color w:val="3377CC"/>
            <w:sz w:val="27"/>
            <w:szCs w:val="27"/>
            <w:u w:val="single"/>
            <w:lang w:bidi="ar-SA"/>
          </w:rPr>
          <w:t>Какие задачи в экономике пришлось решать России в 2022 году и чего удалось добиться</w:t>
        </w:r>
      </w:hyperlink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"От общего объема средств, предусмотренных на госпрограмму АПК в 2023 году, половина - 173,4 миллиарда рублей - будет направлена на стимулирование инвестиционной деятельности, четвертая часть - 83,4 миллиарда рублей - на развитие отраслей и техническую модернизацию АПК. Еще 12 процентов средств, или 41,4 миллиарда рублей, планируется направить на поддержку экспорта. На субсидии производителям зерновых культур предусмотрено 10 миллиардов рублей", - сообщили в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lastRenderedPageBreak/>
        <w:t>минсельхозе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. Вырастут объемы поддержки таких направлений, как виноградарство и виноделие, закладка многолетних насаждений, племенное животноводство и мясное скотоводство, сельский туризм.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Есть и нововведения. Так, поддержка производства и реализации молока будет проводиться только в рамках стимулирующей субсидии, при этом ее совокупный объем в 2023 году увеличен более, чем на 2,7 миллиарда рублей. С 2023 года поддержка овощеводства вынесена из всех текущих субсидий в отдельный федеральный проект с объемом финансирования пять миллиардов рублей. В компенсирующей субсидии упрощен расчет лимитов на страхование. Введена новая субсидия - на один килограмм живой массы крупного рогатого скота не старше 24 месяцев, направленного на убой, и уточнены показатели по приобретению племенного молодняка.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Кроме того, правила предоставления субсидий на компенсацию части прямых понесенных затрат дополнены двумя направлениями - объекты по производству кормов для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аквакультуры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, а также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продукции.</w:t>
      </w:r>
    </w:p>
    <w:p w:rsidR="002B60ED" w:rsidRPr="002B60ED" w:rsidRDefault="002B60ED" w:rsidP="002B60ED">
      <w:pPr>
        <w:widowControl/>
        <w:shd w:val="clear" w:color="auto" w:fill="F8F8F8"/>
        <w:spacing w:before="100" w:beforeAutospacing="1" w:after="100" w:afterAutospacing="1" w:line="528" w:lineRule="atLeast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</w:pPr>
      <w:r w:rsidRPr="002B60ED"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  <w:t>Развитие семеноводства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lastRenderedPageBreak/>
        <w:t xml:space="preserve">Один из актуальных вопросов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импортозамещения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- развитие собственной семеноводческой базы. Сейчас, по экспертным оценкам, доля импортных семян в российском растениеводстве составляет около 55 процентов для кукурузы, 65 процентов для картофеля, 73 процента для подсолнечника, более 80 процентов для овощей и 97 процентов для сахарной свеклы. При этом в Доктрине продовольственной безопасности обозначено, что доля отечественных семян в сельском хозяйстве страны к 2030 году должна составить не менее 75 процентов.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Правительство расширило комплекс мер поддержки отрасли. С 2023 года с 20 до 50 процентов должен увеличиться размер возмещения части затрат на создание или обновление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селекционно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-семеноводческих комплексов. Также расширится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грантовая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поддержка аграриев, участвующих в реализации комплексных научно-технических проектов, в том числе в области семеноводства технических культур.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"После введения санкций отрасль семеноводства испытывает дефицит оборудования. Нужна узкоспециализированная техника, семеноводческие комбайны. При этом большинства позиций такой техники пока нет в разрешенных к ввозу в рамках параллельного импорта. Нужен комплекс протекционистских мер для семеноводческих хозяйств. Надеемся, что новый, созданный в этом году департамент селекции и </w:t>
      </w: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lastRenderedPageBreak/>
        <w:t xml:space="preserve">семеноводства Минсельхоза России, сможет консолидировать проблематику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селекционно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-семеноводческих хозяйств и проработает пути решения многих вопросов", - заявил "РГ" Александр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Закускин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, руководитель проектов по GR кукурузокалибровочного завода "Золотой початок".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Говоря о мерах поддержки семеноводства, эксперт отметил позитивные сдвиги. В их числе, помимо упомянутой поддержки создания и модернизации семеноводческих центров, обнуление ставки НДС на три-пять лет для семян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сельхозрастений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отечественной селекции с 2023 года. Важно и закрепление на законодательном уровне понятия "семена отечественной селекции" - именно такое понятие используется в Доктрине продовольственной безопасности. Законодательное закрепление определения позволит в дальнейшем оказывать господдержку именно производителям семян сортов (гибридов) отечественной селекции и объективно судить о выполнении параметров доктрины.</w:t>
      </w:r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noProof/>
          <w:color w:val="3377CC"/>
          <w:sz w:val="33"/>
          <w:szCs w:val="33"/>
          <w:bdr w:val="single" w:sz="24" w:space="0" w:color="FFFFFF" w:frame="1"/>
          <w:lang w:bidi="ar-SA"/>
        </w:rPr>
        <w:drawing>
          <wp:inline distT="0" distB="0" distL="0" distR="0" wp14:anchorId="1398F896" wp14:editId="4D3E806D">
            <wp:extent cx="2667000" cy="1771650"/>
            <wp:effectExtent l="0" t="0" r="0" b="0"/>
            <wp:docPr id="3" name="Рисунок 3" descr="Минсельхоз: Урожай зерна в следующем году может достигнуть 127 млн г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инсельхоз: Урожай зерна в следующем году может достигнуть 127 млн г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hyperlink r:id="rId13" w:history="1">
        <w:r w:rsidRPr="002B60ED">
          <w:rPr>
            <w:rFonts w:ascii="Arial" w:eastAsia="Times New Roman" w:hAnsi="Arial" w:cs="Arial"/>
            <w:caps/>
            <w:color w:val="3377CC"/>
            <w:sz w:val="12"/>
            <w:szCs w:val="12"/>
            <w:u w:val="single"/>
            <w:shd w:val="clear" w:color="auto" w:fill="FF8200"/>
            <w:lang w:bidi="ar-SA"/>
          </w:rPr>
          <w:t>ЭКОНОМИКА</w:t>
        </w:r>
      </w:hyperlink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hyperlink r:id="rId14" w:history="1">
        <w:r w:rsidRPr="002B60ED">
          <w:rPr>
            <w:rFonts w:ascii="Arial" w:eastAsia="Times New Roman" w:hAnsi="Arial" w:cs="Arial"/>
            <w:b/>
            <w:bCs/>
            <w:color w:val="3377CC"/>
            <w:sz w:val="27"/>
            <w:szCs w:val="27"/>
            <w:u w:val="single"/>
            <w:lang w:bidi="ar-SA"/>
          </w:rPr>
          <w:t>Минсельхоз: Урожай зерна в следующем году может достигнуть 127 млн га</w:t>
        </w:r>
      </w:hyperlink>
    </w:p>
    <w:p w:rsidR="002B60ED" w:rsidRPr="002B60ED" w:rsidRDefault="002B60ED" w:rsidP="002B60ED">
      <w:pPr>
        <w:widowControl/>
        <w:shd w:val="clear" w:color="auto" w:fill="F8F8F8"/>
        <w:spacing w:before="100" w:beforeAutospacing="1" w:after="100" w:afterAutospacing="1" w:line="528" w:lineRule="atLeast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</w:pPr>
      <w:proofErr w:type="spellStart"/>
      <w:r w:rsidRPr="002B60ED"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  <w:lastRenderedPageBreak/>
        <w:t>Импортозамещение</w:t>
      </w:r>
      <w:proofErr w:type="spellEnd"/>
      <w:r w:rsidRPr="002B60ED"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  <w:t xml:space="preserve"> в животноводстве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Пока высок и уровень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импортозависимости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от зарубежного генетического материала в животноводстве, отмечает в разговоре с "РГ" Надежда Орлова, завотделом экономики инноваций в сельском хозяйстве Института аграрных исследований НИУ ВШЭ. "Наибольшая фактическая зависимость характерна для интенсивного индустриального птицеводства и свиноводства", - подчеркивает эксперт.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По словам Надежды Орловой, для развития собственного птицеводства необходимо поддерживать разработку готовых решений по массовому размножению кроссов и стабильности получаемого генетического поголовья, а также по созданию совместных предприятий с племенными репродукторами из Турции или Аргентины. "Эти страны еще не монополизированы европейскими и американскими производителями племенного поголовья птицы", - отмечает Надежда Орлова.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В качестве решения проблем для свиноводства экспертами предлагается введение программы по управлению качеством текущего поголовья и вывода из него худших по производительности и генетике животных.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Что касается крупного рогатого скота, то также стоят задачи повышения эффективности отечественной племенной работы на принципах геномной селекции.</w:t>
      </w:r>
    </w:p>
    <w:p w:rsidR="002B60ED" w:rsidRPr="002B60ED" w:rsidRDefault="002B60ED" w:rsidP="002B60ED">
      <w:pPr>
        <w:widowControl/>
        <w:shd w:val="clear" w:color="auto" w:fill="F8F8F8"/>
        <w:spacing w:before="100" w:beforeAutospacing="1" w:after="100" w:afterAutospacing="1" w:line="528" w:lineRule="atLeast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</w:pPr>
      <w:r w:rsidRPr="002B60ED">
        <w:rPr>
          <w:rFonts w:ascii="Arial" w:eastAsia="Times New Roman" w:hAnsi="Arial" w:cs="Arial"/>
          <w:b/>
          <w:bCs/>
          <w:color w:val="252525"/>
          <w:sz w:val="36"/>
          <w:szCs w:val="36"/>
          <w:lang w:bidi="ar-SA"/>
        </w:rPr>
        <w:lastRenderedPageBreak/>
        <w:t>Дело техники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До введения санкций примерно 50 процентов сельскохозяйственной техники приходилось на зарубежную, соответственно, ей были необходимы комплектующие и сервисное обслуживание.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После санкций ситуация осложнилась тем, что в России часть узлов и комплектующих не производится, поэтому нужна замена, отмечает в разговоре с "РГ" зампредседателя комитета МТПП по развитию предпринимательства в АПК Марина Петрова. "Разумно создать рабочую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межфункциональную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группу с участием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минсельхоза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,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минпромторга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, представителей машиностроительных предприятий и </w:t>
      </w:r>
      <w:proofErr w:type="spellStart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инжениринговых</w:t>
      </w:r>
      <w:proofErr w:type="spellEnd"/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 компаний, чтобы начать запуск основных технических узлов", - говорит эксперт.</w:t>
      </w:r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noProof/>
          <w:color w:val="3377CC"/>
          <w:sz w:val="33"/>
          <w:szCs w:val="33"/>
          <w:bdr w:val="single" w:sz="24" w:space="0" w:color="FFFFFF" w:frame="1"/>
          <w:lang w:bidi="ar-SA"/>
        </w:rPr>
        <w:drawing>
          <wp:inline distT="0" distB="0" distL="0" distR="0" wp14:anchorId="6E8551A7" wp14:editId="6DE159D1">
            <wp:extent cx="2667000" cy="1771650"/>
            <wp:effectExtent l="0" t="0" r="0" b="0"/>
            <wp:docPr id="4" name="Рисунок 4" descr="Кабмин выделит трем регионам более 1,4 млрд рублей на модернизацию сельхозпредприяти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бмин выделит трем регионам более 1,4 млрд рублей на модернизацию сельхозпредприяти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hyperlink r:id="rId17" w:history="1">
        <w:r w:rsidRPr="002B60ED">
          <w:rPr>
            <w:rFonts w:ascii="Arial" w:eastAsia="Times New Roman" w:hAnsi="Arial" w:cs="Arial"/>
            <w:caps/>
            <w:color w:val="3377CC"/>
            <w:sz w:val="12"/>
            <w:szCs w:val="12"/>
            <w:u w:val="single"/>
            <w:shd w:val="clear" w:color="auto" w:fill="FF8200"/>
            <w:lang w:bidi="ar-SA"/>
          </w:rPr>
          <w:t>ЭКОНОМИКА</w:t>
        </w:r>
      </w:hyperlink>
    </w:p>
    <w:p w:rsidR="002B60ED" w:rsidRPr="002B60ED" w:rsidRDefault="002B60ED" w:rsidP="002B60ED">
      <w:pPr>
        <w:widowControl/>
        <w:shd w:val="clear" w:color="auto" w:fill="F8F8F8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hyperlink r:id="rId18" w:history="1">
        <w:proofErr w:type="spellStart"/>
        <w:r w:rsidRPr="002B60ED">
          <w:rPr>
            <w:rFonts w:ascii="Arial" w:eastAsia="Times New Roman" w:hAnsi="Arial" w:cs="Arial"/>
            <w:b/>
            <w:bCs/>
            <w:color w:val="3377CC"/>
            <w:sz w:val="27"/>
            <w:szCs w:val="27"/>
            <w:u w:val="single"/>
            <w:lang w:bidi="ar-SA"/>
          </w:rPr>
          <w:t>Кабмин</w:t>
        </w:r>
        <w:proofErr w:type="spellEnd"/>
        <w:r w:rsidRPr="002B60ED">
          <w:rPr>
            <w:rFonts w:ascii="Arial" w:eastAsia="Times New Roman" w:hAnsi="Arial" w:cs="Arial"/>
            <w:b/>
            <w:bCs/>
            <w:color w:val="3377CC"/>
            <w:sz w:val="27"/>
            <w:szCs w:val="27"/>
            <w:u w:val="single"/>
            <w:lang w:bidi="ar-SA"/>
          </w:rPr>
          <w:t xml:space="preserve"> выделит трем регионам более 1,4 млрд рублей на модернизацию сельхозпредприятий</w:t>
        </w:r>
      </w:hyperlink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 xml:space="preserve">При этом нельзя сказать, что какая-либо категория импорта создала непреодолимые трудности для сельхозпроизводителей в этом году. </w:t>
      </w: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lastRenderedPageBreak/>
        <w:t>"Сельхозпроизводители в 2022 году были готовы к посевным и уборочным работам, отрасль не ощутила острой нехватки техники. Если наладится процесс параллельного импорта и будет урегулирован вопрос выдачи электронных паспортов для сельхозтехники, проблема будет решена и в следующем году", - рассказал "РГ" Михаил Фролов, партнер практики АПК компании "Технологии доверия".</w:t>
      </w:r>
    </w:p>
    <w:p w:rsidR="002B60ED" w:rsidRPr="002B60ED" w:rsidRDefault="002B60ED" w:rsidP="002B60ED">
      <w:pPr>
        <w:widowControl/>
        <w:shd w:val="clear" w:color="auto" w:fill="F8F8F8"/>
        <w:spacing w:before="300" w:after="300" w:line="528" w:lineRule="atLeast"/>
        <w:rPr>
          <w:rFonts w:ascii="Arial" w:eastAsia="Times New Roman" w:hAnsi="Arial" w:cs="Arial"/>
          <w:color w:val="252525"/>
          <w:sz w:val="33"/>
          <w:szCs w:val="33"/>
          <w:lang w:bidi="ar-SA"/>
        </w:rPr>
      </w:pPr>
      <w:r w:rsidRPr="002B60ED">
        <w:rPr>
          <w:rFonts w:ascii="Arial" w:eastAsia="Times New Roman" w:hAnsi="Arial" w:cs="Arial"/>
          <w:color w:val="252525"/>
          <w:sz w:val="33"/>
          <w:szCs w:val="33"/>
          <w:lang w:bidi="ar-SA"/>
        </w:rPr>
        <w:t>При этом отечественные проекты в селекции, генетике и производстве техники являются капиталоемкими с длинными сроками реализации и, соответственно, окупаемости. Такие проекты активизируются, но процесс будет небыстрым, отмечает Михаил Фролов. Первые масштабные результаты можно будет увидеть примерно через пять лет.</w:t>
      </w:r>
    </w:p>
    <w:p w:rsidR="00A14B6C" w:rsidRPr="0042004E" w:rsidRDefault="00A14B6C" w:rsidP="0042004E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A14B6C" w:rsidRPr="0042004E" w:rsidSect="0042004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C49"/>
    <w:multiLevelType w:val="multilevel"/>
    <w:tmpl w:val="BE0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6D15"/>
    <w:multiLevelType w:val="multilevel"/>
    <w:tmpl w:val="402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7BDD"/>
    <w:multiLevelType w:val="multilevel"/>
    <w:tmpl w:val="638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F48"/>
    <w:multiLevelType w:val="multilevel"/>
    <w:tmpl w:val="75A8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650B6"/>
    <w:multiLevelType w:val="multilevel"/>
    <w:tmpl w:val="585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F5E2D"/>
    <w:multiLevelType w:val="multilevel"/>
    <w:tmpl w:val="73E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D6F05"/>
    <w:multiLevelType w:val="multilevel"/>
    <w:tmpl w:val="D9C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550CE"/>
    <w:multiLevelType w:val="multilevel"/>
    <w:tmpl w:val="6FD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83922"/>
    <w:multiLevelType w:val="multilevel"/>
    <w:tmpl w:val="0A7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B7853"/>
    <w:multiLevelType w:val="multilevel"/>
    <w:tmpl w:val="B98E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A20DD"/>
    <w:multiLevelType w:val="multilevel"/>
    <w:tmpl w:val="CDD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3187A"/>
    <w:multiLevelType w:val="multilevel"/>
    <w:tmpl w:val="61D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66C6F"/>
    <w:multiLevelType w:val="multilevel"/>
    <w:tmpl w:val="366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13391"/>
    <w:multiLevelType w:val="multilevel"/>
    <w:tmpl w:val="15F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D4612"/>
    <w:multiLevelType w:val="multilevel"/>
    <w:tmpl w:val="DB9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02AE6"/>
    <w:multiLevelType w:val="multilevel"/>
    <w:tmpl w:val="0A4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9"/>
    <w:rsid w:val="00172D21"/>
    <w:rsid w:val="00184E4A"/>
    <w:rsid w:val="002B60ED"/>
    <w:rsid w:val="003F348A"/>
    <w:rsid w:val="0042004E"/>
    <w:rsid w:val="004F324D"/>
    <w:rsid w:val="00562923"/>
    <w:rsid w:val="00694DB9"/>
    <w:rsid w:val="007760D9"/>
    <w:rsid w:val="00886778"/>
    <w:rsid w:val="00A14B6C"/>
    <w:rsid w:val="00C67DFE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8D79"/>
  <w15:docId w15:val="{7A9E16FF-3863-4F21-8150-02D7842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4E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4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E4A"/>
    <w:pPr>
      <w:shd w:val="clear" w:color="auto" w:fill="FFFFFF"/>
      <w:spacing w:line="317" w:lineRule="exact"/>
      <w:ind w:hanging="17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18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184E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4E4A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84E4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4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8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9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97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140992">
                          <w:marLeft w:val="5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15532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26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8746">
          <w:marLeft w:val="0"/>
          <w:marRight w:val="0"/>
          <w:marTop w:val="825"/>
          <w:marBottom w:val="0"/>
          <w:divBdr>
            <w:top w:val="single" w:sz="12" w:space="31" w:color="21212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g.ru/tema/ekonomika" TargetMode="External"/><Relationship Id="rId18" Type="http://schemas.openxmlformats.org/officeDocument/2006/relationships/hyperlink" Target="https://rg.ru/2022/12/12/reg-szfo/kabmin-vydelit-trem-regionam-bolee-14-mlrd-rublej-na-modernizaciiu-selhozpredpriiatij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g.ru/2022/12/27/podali-kolos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g.ru/tema/ekonomi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cx.gov.ru/press-service/news/" TargetMode="External"/><Relationship Id="rId11" Type="http://schemas.openxmlformats.org/officeDocument/2006/relationships/hyperlink" Target="https://rg.ru/2022/12/13/minselhoz-urozhaj-zerna-v-sleduiushchem-godu-mozhet-dostignut-127-mln-g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2022/12/12/reg-szfo/kabmin-vydelit-trem-regionam-bolee-14-mlrd-rublej-na-modernizaciiu-selhozpredpriiatij.html" TargetMode="External"/><Relationship Id="rId10" Type="http://schemas.openxmlformats.org/officeDocument/2006/relationships/hyperlink" Target="https://rg.ru/2022/12/27/podali-kolo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tema/ekonomika" TargetMode="External"/><Relationship Id="rId14" Type="http://schemas.openxmlformats.org/officeDocument/2006/relationships/hyperlink" Target="https://rg.ru/2022/12/13/minselhoz-urozhaj-zerna-v-sleduiushchem-godu-mozhet-dostignut-127-mln-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2013-EF40-42EB-A11B-514BD19D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Alujino</cp:lastModifiedBy>
  <cp:revision>2</cp:revision>
  <cp:lastPrinted>2022-02-18T02:38:00Z</cp:lastPrinted>
  <dcterms:created xsi:type="dcterms:W3CDTF">2023-02-27T07:21:00Z</dcterms:created>
  <dcterms:modified xsi:type="dcterms:W3CDTF">2023-02-27T07:21:00Z</dcterms:modified>
</cp:coreProperties>
</file>